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此表复制有效，</w:t>
      </w:r>
      <w:r>
        <w:rPr>
          <w:rFonts w:hint="eastAsia" w:ascii="宋体" w:hAnsi="宋体" w:cs="宋体"/>
          <w:sz w:val="24"/>
          <w:lang w:eastAsia="zh-CN"/>
        </w:rPr>
        <w:t>学籍学历海口班</w:t>
      </w:r>
      <w:r>
        <w:rPr>
          <w:rFonts w:hint="eastAsia" w:ascii="宋体" w:hAnsi="宋体" w:eastAsia="宋体" w:cs="宋体"/>
          <w:sz w:val="24"/>
          <w:lang w:val="en-US" w:eastAsia="zh-CN"/>
        </w:rPr>
        <w:t>回执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6EB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Calibri" w:hAnsi="Calibri" w:cs="宋体"/>
      <w:kern w:val="0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正文1"/>
    <w:basedOn w:val="1"/>
    <w:next w:val="1"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9">
    <w:name w:val="默认段落字体 Para Char"/>
    <w:basedOn w:val="1"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2023-09-25T09:29:52Z</dcterms:created>
  <dc:creator>Administrator</dc:creator>
  <cp:lastModifiedBy>Administrator</cp:lastModifiedBy>
  <dcterms:modified xsi:type="dcterms:W3CDTF">2023-09-25T09:30:09Z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D4A344BE22FD4CF280EA201F288CE847_12</vt:lpwstr>
  </property>
</Properties>
</file>